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spacing w:line="240" w:lineRule="auto"/>
        <w:ind w:left="0" w:leftChars="0" w:firstLine="0" w:firstLineChars="0"/>
        <w:jc w:val="center"/>
        <w:rPr>
          <w:rFonts w:hint="default" w:ascii="Times New Roman" w:hAnsi="Times New Roman" w:eastAsia="宋体" w:cs="Times New Roman"/>
          <w:b/>
          <w:bCs/>
          <w:color w:val="auto"/>
          <w:kern w:val="2"/>
          <w:sz w:val="36"/>
          <w:szCs w:val="36"/>
          <w:highlight w:val="none"/>
          <w:lang w:val="en-US" w:eastAsia="zh-CN" w:bidi="en-US"/>
        </w:rPr>
      </w:pPr>
      <w:bookmarkStart w:id="0" w:name="_Toc3842"/>
      <w:bookmarkStart w:id="1" w:name="_Toc4880"/>
      <w:bookmarkStart w:id="2" w:name="_Toc16604"/>
      <w:r>
        <w:rPr>
          <w:rFonts w:hint="default" w:ascii="Times New Roman" w:hAnsi="Times New Roman" w:eastAsia="宋体" w:cs="Times New Roman"/>
          <w:b/>
          <w:bCs/>
          <w:color w:val="auto"/>
          <w:kern w:val="2"/>
          <w:sz w:val="36"/>
          <w:szCs w:val="36"/>
          <w:highlight w:val="none"/>
          <w:lang w:val="en-US" w:eastAsia="zh-CN" w:bidi="en-US"/>
        </w:rPr>
        <w:t>北京市丰台区中关村科技园丰台园东区三期</w:t>
      </w:r>
    </w:p>
    <w:p>
      <w:pPr>
        <w:tabs>
          <w:tab w:val="center" w:pos="4153"/>
          <w:tab w:val="right" w:pos="8306"/>
        </w:tabs>
        <w:spacing w:line="240" w:lineRule="auto"/>
        <w:ind w:left="0" w:leftChars="0" w:firstLine="0" w:firstLineChars="0"/>
        <w:jc w:val="center"/>
        <w:rPr>
          <w:rFonts w:hint="default" w:ascii="Times New Roman" w:hAnsi="Times New Roman" w:eastAsia="宋体" w:cs="Times New Roman"/>
          <w:b/>
          <w:bCs/>
          <w:color w:val="auto"/>
          <w:sz w:val="36"/>
          <w:szCs w:val="36"/>
          <w:highlight w:val="none"/>
          <w:lang w:eastAsia="zh-CN" w:bidi="en-US"/>
        </w:rPr>
      </w:pPr>
      <w:r>
        <w:rPr>
          <w:rFonts w:hint="eastAsia" w:ascii="Times New Roman" w:hAnsi="Times New Roman" w:eastAsia="宋体" w:cs="Times New Roman"/>
          <w:b/>
          <w:bCs/>
          <w:color w:val="auto"/>
          <w:kern w:val="2"/>
          <w:sz w:val="36"/>
          <w:szCs w:val="36"/>
          <w:highlight w:val="none"/>
          <w:lang w:val="en-US" w:eastAsia="zh-CN" w:bidi="en-US"/>
        </w:rPr>
        <w:t>项目</w:t>
      </w:r>
      <w:r>
        <w:rPr>
          <w:rFonts w:hint="default" w:ascii="Times New Roman" w:hAnsi="Times New Roman" w:eastAsia="宋体" w:cs="Times New Roman"/>
          <w:b/>
          <w:bCs/>
          <w:color w:val="auto"/>
          <w:kern w:val="2"/>
          <w:sz w:val="36"/>
          <w:szCs w:val="36"/>
          <w:highlight w:val="none"/>
          <w:lang w:val="en-US" w:eastAsia="zh-CN" w:bidi="en-US"/>
        </w:rPr>
        <w:t>1516-60地块R2二类居住用地</w:t>
      </w:r>
      <w:bookmarkStart w:id="3" w:name="_Toc6832"/>
      <w:r>
        <w:rPr>
          <w:rFonts w:hint="default" w:ascii="Times New Roman" w:hAnsi="Times New Roman" w:eastAsia="宋体" w:cs="Times New Roman"/>
          <w:b/>
          <w:bCs/>
          <w:color w:val="auto"/>
          <w:sz w:val="36"/>
          <w:szCs w:val="36"/>
          <w:highlight w:val="none"/>
          <w:lang w:eastAsia="zh-CN" w:bidi="en-US"/>
        </w:rPr>
        <w:t>国有建设用地</w:t>
      </w:r>
    </w:p>
    <w:p>
      <w:pPr>
        <w:tabs>
          <w:tab w:val="center" w:pos="4153"/>
          <w:tab w:val="right" w:pos="8306"/>
        </w:tabs>
        <w:spacing w:line="240" w:lineRule="auto"/>
        <w:ind w:left="0" w:leftChars="0" w:firstLine="0" w:firstLineChars="0"/>
        <w:jc w:val="center"/>
        <w:rPr>
          <w:rFonts w:hint="default" w:ascii="Times New Roman" w:hAnsi="Times New Roman" w:eastAsia="宋体" w:cs="Times New Roman"/>
          <w:b w:val="0"/>
          <w:bCs w:val="0"/>
          <w:color w:val="auto"/>
          <w:sz w:val="36"/>
          <w:szCs w:val="36"/>
          <w:highlight w:val="none"/>
        </w:rPr>
      </w:pPr>
      <w:r>
        <w:rPr>
          <w:rFonts w:hint="default" w:ascii="Times New Roman" w:hAnsi="Times New Roman" w:eastAsia="宋体" w:cs="Times New Roman"/>
          <w:b/>
          <w:bCs/>
          <w:color w:val="auto"/>
          <w:sz w:val="36"/>
          <w:szCs w:val="36"/>
          <w:highlight w:val="none"/>
          <w:lang w:eastAsia="zh-CN" w:bidi="en-US"/>
        </w:rPr>
        <w:t>使用权</w:t>
      </w:r>
      <w:bookmarkStart w:id="4" w:name="_Toc41366787"/>
      <w:bookmarkStart w:id="5" w:name="_Toc41366853"/>
      <w:r>
        <w:rPr>
          <w:rFonts w:hint="default" w:ascii="Times New Roman" w:hAnsi="Times New Roman" w:eastAsia="宋体" w:cs="Times New Roman"/>
          <w:b/>
          <w:bCs/>
          <w:color w:val="auto"/>
          <w:sz w:val="36"/>
          <w:szCs w:val="36"/>
          <w:highlight w:val="none"/>
          <w:lang w:eastAsia="zh-CN" w:bidi="en-US"/>
        </w:rPr>
        <w:t>挂牌</w:t>
      </w:r>
      <w:bookmarkStart w:id="6" w:name="_Toc11484"/>
      <w:r>
        <w:rPr>
          <w:rFonts w:hint="default" w:ascii="Times New Roman" w:hAnsi="Times New Roman" w:eastAsia="宋体" w:cs="Times New Roman"/>
          <w:b/>
          <w:bCs/>
          <w:color w:val="auto"/>
          <w:sz w:val="36"/>
          <w:szCs w:val="36"/>
          <w:highlight w:val="none"/>
          <w:lang w:eastAsia="zh-CN" w:bidi="en-US"/>
        </w:rPr>
        <w:t>出让公告</w:t>
      </w:r>
      <w:bookmarkEnd w:id="0"/>
      <w:bookmarkEnd w:id="1"/>
      <w:bookmarkEnd w:id="2"/>
      <w:bookmarkEnd w:id="3"/>
      <w:bookmarkEnd w:id="4"/>
      <w:bookmarkEnd w:id="5"/>
      <w:bookmarkEnd w:id="6"/>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w:t>
      </w:r>
      <w:bookmarkStart w:id="7" w:name="_GoBack"/>
      <w:bookmarkEnd w:id="7"/>
      <w:r>
        <w:rPr>
          <w:rFonts w:hint="default" w:ascii="Times New Roman" w:hAnsi="Times New Roman" w:eastAsia="仿宋_GB2312" w:cs="Times New Roman"/>
          <w:color w:val="auto"/>
          <w:sz w:val="28"/>
          <w:highlight w:val="none"/>
        </w:rPr>
        <w:t>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公开挂牌出让北京市丰台区中关村科技园丰台园东区三期</w:t>
      </w:r>
      <w:r>
        <w:rPr>
          <w:rFonts w:hint="eastAsia" w:ascii="Times New Roman" w:hAnsi="Times New Roman" w:eastAsia="仿宋_GB2312" w:cs="Times New Roman"/>
          <w:color w:val="auto"/>
          <w:sz w:val="28"/>
          <w:highlight w:val="none"/>
          <w:lang w:eastAsia="zh-CN"/>
        </w:rPr>
        <w:t>项目</w:t>
      </w:r>
      <w:r>
        <w:rPr>
          <w:rFonts w:hint="default" w:ascii="Times New Roman" w:hAnsi="Times New Roman" w:eastAsia="仿宋_GB2312" w:cs="Times New Roman"/>
          <w:color w:val="auto"/>
          <w:sz w:val="28"/>
          <w:highlight w:val="none"/>
        </w:rPr>
        <w:t>1516-60地块R2二类居住用地国有建设用地使用权。北京市公共资源交易中心负责本次挂牌出让的组织和实施工作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本次挂牌出让宗地位于中关村科技园丰台园东区三期。四至范围详见《“多规合一”协同平台审核意见的函》（京规自（丰）供审函[2024]000</w:t>
      </w:r>
      <w:r>
        <w:rPr>
          <w:rFonts w:hint="default" w:ascii="Times New Roman" w:hAnsi="Times New Roman" w:eastAsia="仿宋_GB2312" w:cs="Times New Roman"/>
          <w:color w:val="auto"/>
          <w:sz w:val="28"/>
          <w:highlight w:val="none"/>
          <w:lang w:val="en-US"/>
        </w:rPr>
        <w:t>3</w:t>
      </w:r>
      <w:r>
        <w:rPr>
          <w:rFonts w:hint="default" w:ascii="Times New Roman" w:hAnsi="Times New Roman" w:eastAsia="仿宋_GB2312" w:cs="Times New Roman"/>
          <w:color w:val="auto"/>
          <w:sz w:val="28"/>
          <w:highlight w:val="none"/>
        </w:rPr>
        <w:t>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default" w:ascii="Times New Roman" w:hAnsi="Times New Roman" w:eastAsia="仿宋_GB2312" w:cs="Times New Roman"/>
          <w:color w:val="auto"/>
          <w:sz w:val="28"/>
          <w:highlight w:val="none"/>
          <w:lang w:eastAsia="zh-CN"/>
        </w:rPr>
        <w:t>五通一平</w:t>
      </w:r>
      <w:r>
        <w:rPr>
          <w:rFonts w:hint="default" w:ascii="Times New Roman" w:hAnsi="Times New Roman" w:eastAsia="仿宋_GB2312" w:cs="Times New Roman"/>
          <w:color w:val="auto"/>
          <w:sz w:val="28"/>
          <w:highlight w:val="none"/>
        </w:rPr>
        <w:t>”形式供地。规划经济技术指标如下表：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680"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c>
          <w:tcPr>
            <w:tcW w:w="1739"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1680" w:type="dxa"/>
            <w:noWrap w:val="0"/>
            <w:vAlign w:val="center"/>
          </w:tcPr>
          <w:p>
            <w:pPr>
              <w:pStyle w:val="2"/>
              <w:spacing w:line="240" w:lineRule="auto"/>
              <w:ind w:left="-20" w:leftChars="-10" w:hanging="1"/>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京土储挂（</w:t>
            </w:r>
            <w:r>
              <w:rPr>
                <w:rFonts w:hint="eastAsia" w:ascii="Times New Roman" w:hAnsi="Times New Roman" w:eastAsia="仿宋_GB2312" w:cs="Times New Roman"/>
                <w:color w:val="auto"/>
                <w:spacing w:val="-4"/>
                <w:sz w:val="24"/>
                <w:szCs w:val="24"/>
                <w:highlight w:val="none"/>
                <w:lang w:eastAsia="zh-CN"/>
              </w:rPr>
              <w:t>丰</w:t>
            </w:r>
            <w:r>
              <w:rPr>
                <w:rFonts w:hint="default" w:ascii="Times New Roman" w:hAnsi="Times New Roman" w:eastAsia="仿宋_GB2312" w:cs="Times New Roman"/>
                <w:color w:val="auto"/>
                <w:spacing w:val="-4"/>
                <w:sz w:val="24"/>
                <w:szCs w:val="24"/>
                <w:highlight w:val="none"/>
                <w:lang w:eastAsia="zh-CN"/>
              </w:rPr>
              <w:t>）[2024]0</w:t>
            </w:r>
            <w:r>
              <w:rPr>
                <w:rFonts w:hint="default" w:ascii="Times New Roman" w:hAnsi="Times New Roman" w:eastAsia="仿宋_GB2312" w:cs="Times New Roman"/>
                <w:color w:val="auto"/>
                <w:spacing w:val="-4"/>
                <w:sz w:val="24"/>
                <w:szCs w:val="24"/>
                <w:highlight w:val="none"/>
                <w:lang w:val="en-US" w:eastAsia="zh-CN"/>
              </w:rPr>
              <w:t>34</w:t>
            </w:r>
            <w:r>
              <w:rPr>
                <w:rFonts w:hint="default" w:ascii="Times New Roman" w:hAnsi="Times New Roman" w:eastAsia="仿宋_GB2312" w:cs="Times New Roman"/>
                <w:color w:val="auto"/>
                <w:spacing w:val="-4"/>
                <w:sz w:val="24"/>
                <w:szCs w:val="24"/>
                <w:highlight w:val="none"/>
                <w:lang w:eastAsia="zh-CN"/>
              </w:rPr>
              <w:t>号</w:t>
            </w:r>
          </w:p>
        </w:tc>
        <w:tc>
          <w:tcPr>
            <w:tcW w:w="2348" w:type="dxa"/>
            <w:noWrap w:val="0"/>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R2二类居住用地</w:t>
            </w:r>
          </w:p>
        </w:tc>
        <w:tc>
          <w:tcPr>
            <w:tcW w:w="1466"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noWrap w:val="0"/>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21607.59</w:t>
            </w:r>
          </w:p>
        </w:tc>
        <w:tc>
          <w:tcPr>
            <w:tcW w:w="1739" w:type="dxa"/>
            <w:noWrap w:val="0"/>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54019</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二、挂牌出让起始价为人民币270000万元，竞价阶梯为人民币   </w:t>
      </w:r>
      <w:r>
        <w:rPr>
          <w:rFonts w:hint="default" w:ascii="Times New Roman" w:hAnsi="Times New Roman" w:eastAsia="仿宋_GB2312" w:cs="Times New Roman"/>
          <w:color w:val="auto"/>
          <w:sz w:val="28"/>
          <w:highlight w:val="none"/>
          <w:lang w:val="en-US" w:eastAsia="zh-CN"/>
        </w:rPr>
        <w:t>300</w:t>
      </w:r>
      <w:r>
        <w:rPr>
          <w:rFonts w:hint="default" w:ascii="Times New Roman" w:hAnsi="Times New Roman" w:eastAsia="仿宋_GB2312" w:cs="Times New Roman"/>
          <w:color w:val="auto"/>
          <w:sz w:val="28"/>
          <w:highlight w:val="none"/>
        </w:rPr>
        <w:t>万元整，竞买保证金为人民币54000万元。</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含全资公司、控股公司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四、本次挂牌出让宗地设定土地合理上限价格3</w:t>
      </w:r>
      <w:r>
        <w:rPr>
          <w:rFonts w:hint="default" w:ascii="Times New Roman" w:hAnsi="Times New Roman" w:eastAsia="仿宋_GB2312" w:cs="Times New Roman"/>
          <w:color w:val="auto"/>
          <w:sz w:val="28"/>
          <w:highlight w:val="none"/>
          <w:lang w:val="en-US"/>
        </w:rPr>
        <w:t>510</w:t>
      </w:r>
      <w:r>
        <w:rPr>
          <w:rFonts w:hint="default" w:ascii="Times New Roman" w:hAnsi="Times New Roman" w:eastAsia="仿宋_GB2312" w:cs="Times New Roman"/>
          <w:color w:val="auto"/>
          <w:sz w:val="28"/>
          <w:highlight w:val="none"/>
        </w:rPr>
        <w:t>00万元，当竞买报价达到土地合理上限价格时，则不再接受更高报价，转为现场摇号方式确定竞得人，参与现场摇号的竞买人须提交《高标准住宅建设承诺书》。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未遵守本出让交易文件的其他有关规定的。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8月16</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9月19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16</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8月16</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9月19</w:t>
      </w:r>
      <w:r>
        <w:rPr>
          <w:rFonts w:hint="default" w:ascii="Times New Roman" w:hAnsi="Times New Roman" w:eastAsia="仿宋_GB2312" w:cs="Times New Roman"/>
          <w:color w:val="auto"/>
          <w:sz w:val="28"/>
          <w:highlight w:val="none"/>
        </w:rPr>
        <w:t>日，每工作日上午9:30-12:00，下午14:30-17:00，电话：010-55597352、010-55597351。</w:t>
      </w:r>
    </w:p>
    <w:p>
      <w:pPr>
        <w:spacing w:before="0" w:beforeLines="0" w:after="0" w:afterLines="0"/>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十一、联系方式</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3"/>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3"/>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beforeLines="0" w:afterLines="0" w:line="240" w:lineRule="auto"/>
        <w:ind w:right="0" w:firstLine="560" w:firstLineChars="200"/>
        <w:jc w:val="left"/>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val="en-US" w:eastAsia="zh-CN"/>
        </w:rPr>
        <w:t>（三）</w:t>
      </w:r>
      <w:r>
        <w:rPr>
          <w:rFonts w:hint="default" w:ascii="Times New Roman" w:hAnsi="Times New Roman" w:eastAsia="仿宋_GB2312" w:cs="Times New Roman"/>
          <w:color w:val="auto"/>
          <w:sz w:val="28"/>
          <w:highlight w:val="none"/>
        </w:rPr>
        <w:t>北京市</w:t>
      </w:r>
      <w:r>
        <w:rPr>
          <w:rFonts w:hint="eastAsia" w:ascii="Times New Roman" w:hAnsi="Times New Roman" w:eastAsia="仿宋_GB2312" w:cs="Times New Roman"/>
          <w:color w:val="auto"/>
          <w:sz w:val="28"/>
          <w:highlight w:val="none"/>
          <w:lang w:eastAsia="zh-CN"/>
        </w:rPr>
        <w:t>丰台</w:t>
      </w:r>
      <w:r>
        <w:rPr>
          <w:rFonts w:hint="default" w:ascii="Times New Roman" w:hAnsi="Times New Roman" w:eastAsia="仿宋_GB2312" w:cs="Times New Roman"/>
          <w:color w:val="auto"/>
          <w:sz w:val="28"/>
          <w:highlight w:val="none"/>
        </w:rPr>
        <w:t>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spacing w:line="240" w:lineRule="auto"/>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16</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834A5"/>
    <w:rsid w:val="5388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Body Text"/>
    <w:basedOn w:val="1"/>
    <w:uiPriority w:val="0"/>
    <w:pPr>
      <w:spacing w:after="120"/>
    </w:pPr>
  </w:style>
  <w:style w:type="paragraph" w:styleId="4">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2024-08-15T06:45:00Z</dcterms:created>
  <dc:creator>张茜</dc:creator>
  <cp:lastModifiedBy>张茜</cp:lastModifiedBy>
  <dcterms:modified xsi:type="dcterms:W3CDTF">2024-08-15T06:46:56Z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287625F6EED74730B38721A250768FA1</vt:lpwstr>
  </property>
</Properties>
</file>